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932" w:rsidRDefault="00435932">
      <w:r>
        <w:rPr>
          <w:rFonts w:ascii="Verdana" w:hAnsi="Verdana"/>
          <w:b/>
          <w:bCs/>
          <w:color w:val="898116"/>
          <w:shd w:val="clear" w:color="auto" w:fill="FFFFFF"/>
        </w:rPr>
        <w:t>Oral Technical Session:</w:t>
      </w:r>
      <w:r>
        <w:rPr>
          <w:rFonts w:ascii="Verdana" w:hAnsi="Verdana"/>
          <w:b/>
          <w:bCs/>
          <w:color w:val="000000"/>
          <w:shd w:val="clear" w:color="auto" w:fill="FFFFFF"/>
        </w:rPr>
        <w:t> </w:t>
      </w:r>
      <w:r>
        <w:rPr>
          <w:rFonts w:ascii="Verdana" w:hAnsi="Verdana"/>
          <w:b/>
          <w:bCs/>
          <w:color w:val="006F37"/>
          <w:shd w:val="clear" w:color="auto" w:fill="FFFFFF"/>
        </w:rPr>
        <w:t>Disease Control and Pest Management</w:t>
      </w:r>
      <w:r>
        <w:rPr>
          <w:rFonts w:ascii="Verdana" w:hAnsi="Verdana"/>
          <w:color w:val="000000"/>
        </w:rPr>
        <w:br/>
      </w:r>
      <w:r>
        <w:rPr>
          <w:rFonts w:ascii="Verdana" w:hAnsi="Verdana"/>
          <w:color w:val="000000"/>
        </w:rPr>
        <w:br/>
      </w:r>
      <w:r>
        <w:rPr>
          <w:rFonts w:ascii="Verdana" w:hAnsi="Verdana"/>
          <w:b/>
          <w:bCs/>
          <w:color w:val="006F37"/>
          <w:shd w:val="clear" w:color="auto" w:fill="FFFFFF"/>
        </w:rPr>
        <w:t>112-O</w:t>
      </w:r>
      <w:r>
        <w:rPr>
          <w:rFonts w:ascii="Verdana" w:hAnsi="Verdana"/>
          <w:color w:val="000000"/>
        </w:rPr>
        <w:br/>
      </w:r>
      <w:r>
        <w:rPr>
          <w:rFonts w:ascii="Verdana" w:hAnsi="Verdana"/>
          <w:color w:val="000000"/>
        </w:rPr>
        <w:br/>
      </w:r>
      <w:r>
        <w:rPr>
          <w:rFonts w:ascii="Verdana" w:hAnsi="Verdana"/>
          <w:b/>
          <w:bCs/>
          <w:color w:val="000000"/>
          <w:shd w:val="clear" w:color="auto" w:fill="FFFFFF"/>
        </w:rPr>
        <w:t>Evolution and spread of azole-insensitive </w:t>
      </w:r>
      <w:proofErr w:type="spellStart"/>
      <w:r>
        <w:rPr>
          <w:rFonts w:ascii="Verdana" w:hAnsi="Verdana"/>
          <w:b/>
          <w:bCs/>
          <w:i/>
          <w:iCs/>
          <w:color w:val="000000"/>
          <w:shd w:val="clear" w:color="auto" w:fill="FFFFFF"/>
        </w:rPr>
        <w:t>Zymoseptoria</w:t>
      </w:r>
      <w:proofErr w:type="spellEnd"/>
      <w:r>
        <w:rPr>
          <w:rFonts w:ascii="Verdana" w:hAnsi="Verdana"/>
          <w:b/>
          <w:bCs/>
          <w:i/>
          <w:iCs/>
          <w:color w:val="000000"/>
          <w:shd w:val="clear" w:color="auto" w:fill="FFFFFF"/>
        </w:rPr>
        <w:t xml:space="preserve"> </w:t>
      </w:r>
      <w:proofErr w:type="spellStart"/>
      <w:r>
        <w:rPr>
          <w:rFonts w:ascii="Verdana" w:hAnsi="Verdana"/>
          <w:b/>
          <w:bCs/>
          <w:i/>
          <w:iCs/>
          <w:color w:val="000000"/>
          <w:shd w:val="clear" w:color="auto" w:fill="FFFFFF"/>
        </w:rPr>
        <w:t>tritici</w:t>
      </w:r>
      <w:proofErr w:type="spellEnd"/>
      <w:r>
        <w:rPr>
          <w:rFonts w:ascii="Verdana" w:hAnsi="Verdana"/>
          <w:b/>
          <w:bCs/>
          <w:i/>
          <w:iCs/>
          <w:color w:val="000000"/>
          <w:shd w:val="clear" w:color="auto" w:fill="FFFFFF"/>
        </w:rPr>
        <w:t> </w:t>
      </w:r>
      <w:r>
        <w:rPr>
          <w:rFonts w:ascii="Verdana" w:hAnsi="Verdana"/>
          <w:b/>
          <w:bCs/>
          <w:color w:val="000000"/>
          <w:shd w:val="clear" w:color="auto" w:fill="FFFFFF"/>
        </w:rPr>
        <w:t>field isolates in the UK.</w:t>
      </w:r>
      <w:r>
        <w:rPr>
          <w:rFonts w:ascii="Verdana" w:hAnsi="Verdana"/>
          <w:color w:val="000000"/>
        </w:rPr>
        <w:br/>
      </w:r>
      <w:r>
        <w:rPr>
          <w:rFonts w:ascii="Verdana" w:hAnsi="Verdana"/>
          <w:color w:val="000000"/>
          <w:shd w:val="clear" w:color="auto" w:fill="FFFFFF"/>
        </w:rPr>
        <w:t>B. A. FRAAIJE (1), S. Atkins (1), J. Luo (1), P. Diez de la Fuente (1), N. J. Hawkins (1)</w:t>
      </w:r>
      <w:r>
        <w:rPr>
          <w:rFonts w:ascii="Verdana" w:hAnsi="Verdana"/>
          <w:color w:val="000000"/>
        </w:rPr>
        <w:br/>
      </w:r>
      <w:r>
        <w:rPr>
          <w:rFonts w:ascii="Verdana" w:hAnsi="Verdana"/>
          <w:color w:val="000000"/>
          <w:shd w:val="clear" w:color="auto" w:fill="FFFFFF"/>
        </w:rPr>
        <w:t>(1) Rothamsted Research, Harpenden, United Kingdom</w:t>
      </w:r>
      <w:r>
        <w:rPr>
          <w:rFonts w:ascii="Verdana" w:hAnsi="Verdana"/>
          <w:color w:val="000000"/>
        </w:rPr>
        <w:br/>
      </w:r>
      <w:r>
        <w:rPr>
          <w:rFonts w:ascii="Verdana" w:hAnsi="Verdana"/>
          <w:color w:val="000000"/>
        </w:rPr>
        <w:br/>
      </w:r>
      <w:r>
        <w:rPr>
          <w:rFonts w:ascii="Verdana" w:hAnsi="Verdana"/>
          <w:color w:val="000000"/>
          <w:shd w:val="clear" w:color="auto" w:fill="FFFFFF"/>
        </w:rPr>
        <w:t xml:space="preserve">Azole fungicides have been used for more than three decades in the UK to control </w:t>
      </w:r>
      <w:proofErr w:type="spellStart"/>
      <w:r>
        <w:rPr>
          <w:rFonts w:ascii="Verdana" w:hAnsi="Verdana"/>
          <w:color w:val="000000"/>
          <w:shd w:val="clear" w:color="auto" w:fill="FFFFFF"/>
        </w:rPr>
        <w:t>Septoria</w:t>
      </w:r>
      <w:proofErr w:type="spellEnd"/>
      <w:r>
        <w:rPr>
          <w:rFonts w:ascii="Verdana" w:hAnsi="Verdana"/>
          <w:color w:val="000000"/>
          <w:shd w:val="clear" w:color="auto" w:fill="FFFFFF"/>
        </w:rPr>
        <w:t xml:space="preserve"> leaf blotch caused by the fungus </w:t>
      </w:r>
      <w:proofErr w:type="spellStart"/>
      <w:r>
        <w:rPr>
          <w:rFonts w:ascii="Verdana" w:hAnsi="Verdana"/>
          <w:i/>
          <w:iCs/>
          <w:color w:val="000000"/>
          <w:shd w:val="clear" w:color="auto" w:fill="FFFFFF"/>
        </w:rPr>
        <w:t>Zymoseptoria</w:t>
      </w:r>
      <w:proofErr w:type="spellEnd"/>
      <w:r>
        <w:rPr>
          <w:rFonts w:ascii="Verdana" w:hAnsi="Verdana"/>
          <w:i/>
          <w:iCs/>
          <w:color w:val="000000"/>
          <w:shd w:val="clear" w:color="auto" w:fill="FFFFFF"/>
        </w:rPr>
        <w:t xml:space="preserve"> </w:t>
      </w:r>
      <w:proofErr w:type="spellStart"/>
      <w:r>
        <w:rPr>
          <w:rFonts w:ascii="Verdana" w:hAnsi="Verdana"/>
          <w:i/>
          <w:iCs/>
          <w:color w:val="000000"/>
          <w:shd w:val="clear" w:color="auto" w:fill="FFFFFF"/>
        </w:rPr>
        <w:t>tritici</w:t>
      </w:r>
      <w:proofErr w:type="spellEnd"/>
      <w:r>
        <w:rPr>
          <w:rFonts w:ascii="Verdana" w:hAnsi="Verdana"/>
          <w:color w:val="000000"/>
          <w:shd w:val="clear" w:color="auto" w:fill="FFFFFF"/>
        </w:rPr>
        <w:t xml:space="preserve">. Research has shown that the efficacy of some azoles (e.g. tebuconazole and triadimenol) can be compromised by the evolution and spread of insensitive strains carrying combinations of amino acid alterations (amino acid substitutions and a deletion) in the target protein sterol 14α-demethylase (CYP51). A stepwise accumulation of mutations has been observed since the early 1990s. Since 2012, CYP51 variants harbouring up to nine amino acid alterations can be found in the least sensitive strains. In addition, a 120 </w:t>
      </w:r>
      <w:proofErr w:type="spellStart"/>
      <w:r>
        <w:rPr>
          <w:rFonts w:ascii="Verdana" w:hAnsi="Verdana"/>
          <w:color w:val="000000"/>
          <w:shd w:val="clear" w:color="auto" w:fill="FFFFFF"/>
        </w:rPr>
        <w:t>bp</w:t>
      </w:r>
      <w:proofErr w:type="spellEnd"/>
      <w:r>
        <w:rPr>
          <w:rFonts w:ascii="Verdana" w:hAnsi="Verdana"/>
          <w:color w:val="000000"/>
          <w:shd w:val="clear" w:color="auto" w:fill="FFFFFF"/>
        </w:rPr>
        <w:t xml:space="preserve"> insertion in the </w:t>
      </w:r>
      <w:r>
        <w:rPr>
          <w:rFonts w:ascii="Verdana" w:hAnsi="Verdana"/>
          <w:i/>
          <w:iCs/>
          <w:color w:val="000000"/>
          <w:shd w:val="clear" w:color="auto" w:fill="FFFFFF"/>
        </w:rPr>
        <w:t>CYP51</w:t>
      </w:r>
      <w:r>
        <w:rPr>
          <w:rFonts w:ascii="Verdana" w:hAnsi="Verdana"/>
          <w:color w:val="000000"/>
          <w:shd w:val="clear" w:color="auto" w:fill="FFFFFF"/>
        </w:rPr>
        <w:t> promoter linked with </w:t>
      </w:r>
      <w:r>
        <w:rPr>
          <w:rFonts w:ascii="Verdana" w:hAnsi="Verdana"/>
          <w:i/>
          <w:iCs/>
          <w:color w:val="000000"/>
          <w:shd w:val="clear" w:color="auto" w:fill="FFFFFF"/>
        </w:rPr>
        <w:t>CYP51 </w:t>
      </w:r>
      <w:r>
        <w:rPr>
          <w:rFonts w:ascii="Verdana" w:hAnsi="Verdana"/>
          <w:color w:val="000000"/>
          <w:shd w:val="clear" w:color="auto" w:fill="FFFFFF"/>
        </w:rPr>
        <w:t>overexpression has been found since 2009 in some strains representing two different CYP51 variants. </w:t>
      </w:r>
      <w:r>
        <w:rPr>
          <w:rFonts w:ascii="Verdana" w:hAnsi="Verdana"/>
          <w:i/>
          <w:iCs/>
          <w:color w:val="000000"/>
          <w:shd w:val="clear" w:color="auto" w:fill="FFFFFF"/>
        </w:rPr>
        <w:t>In vitro</w:t>
      </w:r>
      <w:r>
        <w:rPr>
          <w:rFonts w:ascii="Verdana" w:hAnsi="Verdana"/>
          <w:color w:val="000000"/>
          <w:shd w:val="clear" w:color="auto" w:fill="FFFFFF"/>
        </w:rPr>
        <w:t xml:space="preserve"> fungicide sensitivity testing of different CYP51 variants (&gt; 60) shows significant shifts in azole efficacy for all compounds tested (i.e. epoxiconazole, </w:t>
      </w:r>
      <w:proofErr w:type="spellStart"/>
      <w:r>
        <w:rPr>
          <w:rFonts w:ascii="Verdana" w:hAnsi="Verdana"/>
          <w:color w:val="000000"/>
          <w:shd w:val="clear" w:color="auto" w:fill="FFFFFF"/>
        </w:rPr>
        <w:t>prothioconazole</w:t>
      </w:r>
      <w:proofErr w:type="spellEnd"/>
      <w:r>
        <w:rPr>
          <w:rFonts w:ascii="Verdana" w:hAnsi="Verdana"/>
          <w:color w:val="000000"/>
          <w:shd w:val="clear" w:color="auto" w:fill="FFFFFF"/>
        </w:rPr>
        <w:t>, prochloraz and tebuconazole). Here we present the genotype-to-phenotype relationships for these strains and discuss the practical implication</w:t>
      </w:r>
      <w:bookmarkStart w:id="0" w:name="_GoBack"/>
      <w:bookmarkEnd w:id="0"/>
    </w:p>
    <w:sectPr w:rsidR="00435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32"/>
    <w:rsid w:val="00435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EB4C4-CF78-4F98-BF25-8DD27CD7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Fearnhead</dc:creator>
  <cp:keywords/>
  <dc:description/>
  <cp:lastModifiedBy>Catherine Fearnhead</cp:lastModifiedBy>
  <cp:revision>1</cp:revision>
  <dcterms:created xsi:type="dcterms:W3CDTF">2019-09-12T09:35:00Z</dcterms:created>
  <dcterms:modified xsi:type="dcterms:W3CDTF">2019-09-12T09:35:00Z</dcterms:modified>
</cp:coreProperties>
</file>